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b w:val="1"/>
          <w:sz w:val="36"/>
          <w:szCs w:val="36"/>
          <w:rtl w:val="0"/>
        </w:rPr>
        <w:t xml:space="preserve">Joint Schedule 6 (Key Subcontractors)</w:t>
      </w:r>
      <w:r w:rsidDel="00000000" w:rsidR="00000000" w:rsidRPr="00000000">
        <w:rPr>
          <w:rtl w:val="0"/>
        </w:rPr>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Restrictions on certain subcontractors</w:t>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the Framework Contract to the Key Subcontractors set out in the Framework Award Form. </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a Call-Off Contract to Key Subcontractors listed in the Framework Award Form who are specifically nominated in the Order Form.</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proposed Key Subcontractor may prejudice the provision of the Deliverables or may be contrary to its interests;</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is unreliable and/or has not provided reliable goods and or reasonable services to its other customers; and/or</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employs unfit persons.</w:t>
      </w:r>
    </w:p>
    <w:p w:rsidR="00000000" w:rsidDel="00000000" w:rsidP="00000000" w:rsidRDefault="00000000" w:rsidRPr="00000000" w14:paraId="0000000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CCS and the Buyer with the following information in respect of the proposed Key Subcontractor:</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Subcontractor’s name, registered office and company registration number;</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scope/description of any Deliverables to be provided by the proposed Key Subcontractor; </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proposed Key Subcontractor is an Affiliate of the Supplier, evidence that demonstrates to the reasonable satisfaction of the CCS and the Buyer that the proposed Key Sub-Contract has been agreed on "arm’s-length" terms;</w:t>
      </w:r>
    </w:p>
    <w:p w:rsidR="00000000" w:rsidDel="00000000" w:rsidP="00000000" w:rsidRDefault="00000000" w:rsidRPr="00000000" w14:paraId="0000000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CCS, the Key Sub-Contract price expressed as a percentage of the total projected Framework Price over the Framework Contract Period; </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Buyer, the Key Sub-Contract price expressed as a percentage of the total projected Charges over the Call Off Contract Period; and</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applicable) Credit Rating Threshold (as defined in Joint Schedule 7 (Financial Distress)) of the Key Subcontractor.</w:t>
      </w:r>
    </w:p>
    <w:p w:rsidR="00000000" w:rsidDel="00000000" w:rsidP="00000000" w:rsidRDefault="00000000" w:rsidRPr="00000000" w14:paraId="0000001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requested by CCS and/or the Buyer, within ten (10) Working Days of receipt of the information provided by the Supplier pursuant to Paragraph 1.4, the Supplier shall also provide:</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copy of the proposed Key Sub-Contract; and </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further information reasonably requested by CCS and/or the Buyer.</w:t>
      </w:r>
    </w:p>
    <w:p w:rsidR="00000000" w:rsidDel="00000000" w:rsidP="00000000" w:rsidRDefault="00000000" w:rsidRPr="00000000" w14:paraId="0000001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each new or replacement Key Sub-Contract shall include: </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which will enable the Supplier to discharge its obligations under the Contracts;</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right under CRTPA for CCS and the Buyer to enforce any provisions under the Key Sub-Contract which confer a benefit upon CCS and the Buyer respectively;</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CCS and the Buyer to enforce the Key Sub-Contract as if it were the Supplier; </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the Supplier to assign, novate or otherwise transfer any of its rights and/or obligations under the Key Sub-Contract to CCS and/or the Buyer; </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obligations no less onerous on the Key Subcontractor than those imposed on the Supplier under the Framework Contract in respect of:</w:t>
      </w:r>
    </w:p>
    <w:p w:rsidR="00000000" w:rsidDel="00000000" w:rsidP="00000000" w:rsidRDefault="00000000" w:rsidRPr="00000000" w14:paraId="0000001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protection requirements set out in Clause 14 (Data protection);</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FOIA and other access request requirements set out in Clause 16 (When you can share information);</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not to embarrass CCS or the Buyer or otherwise bring CCS or the Buyer into disrepute; </w:t>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keeping of records in respect of the goods and/or services being provided under the Key Sub-Contract, including the maintenance of Open Book Data; and</w:t>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conduct of audits set out in Clause 6 (Record keeping and reporting);</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restricting the ability of the Key Subcontractor to sub-contract all or any part of the provision of the Deliverables provided to the Supplier under the Key Sub-Contract without first seeking the written consent of CCS and the Buyer.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13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6">
    <w:pPr>
      <w:tabs>
        <w:tab w:val="center" w:pos="4513"/>
        <w:tab w:val="right" w:pos="9026"/>
      </w:tabs>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29">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RM6278</w:t>
      <w:tab/>
      <w:t xml:space="preserve">                                           </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C">
    <w:pPr>
      <w:spacing w:after="0" w:line="240" w:lineRule="auto"/>
      <w:jc w:val="both"/>
      <w:rPr>
        <w:rFonts w:ascii="Arial" w:cs="Arial" w:eastAsia="Arial" w:hAnsi="Arial"/>
        <w:color w:val="bfbfbf"/>
        <w:sz w:val="20"/>
        <w:szCs w:val="20"/>
      </w:rPr>
    </w:pPr>
    <w:bookmarkStart w:colFirst="0" w:colLast="0" w:name="_heading=h.tyjcwt" w:id="6"/>
    <w:bookmarkEnd w:id="6"/>
    <w:r w:rsidDel="00000000" w:rsidR="00000000" w:rsidRPr="00000000">
      <w:rPr>
        <w:rFonts w:ascii="Arial" w:cs="Arial" w:eastAsia="Arial" w:hAnsi="Arial"/>
        <w:sz w:val="20"/>
        <w:szCs w:val="20"/>
        <w:rtl w:val="0"/>
      </w:rPr>
      <w:t xml:space="preserve">Model Version: v3.1</w:t>
      <w:tab/>
      <w:tab/>
    </w:r>
    <w:r w:rsidDel="00000000" w:rsidR="00000000" w:rsidRPr="00000000">
      <w:rPr>
        <w:rFonts w:ascii="Arial" w:cs="Arial" w:eastAsia="Arial" w:hAnsi="Arial"/>
        <w:color w:val="bfbfbf"/>
        <w:sz w:val="20"/>
        <w:szCs w:val="20"/>
        <w:rtl w:val="0"/>
      </w:rPr>
      <w:tab/>
      <w:tab/>
    </w:r>
    <w:bookmarkStart w:colFirst="0" w:colLast="0" w:name="bookmark=id.3dy6vkm" w:id="5"/>
    <w:bookmarkEnd w:id="5"/>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6 (Key Subcontractors)</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3Guidance" w:customStyle="1">
    <w:name w:val="GPS L3 Guidance"/>
    <w:basedOn w:val="Normal"/>
    <w:link w:val="GPSL3GuidanceChar"/>
    <w:qFormat w:val="1"/>
    <w:pPr>
      <w:tabs>
        <w:tab w:val="left" w:pos="1985"/>
      </w:tabs>
      <w:adjustRightInd w:val="0"/>
      <w:spacing w:after="120" w:before="120" w:line="240" w:lineRule="auto"/>
      <w:ind w:left="1985"/>
      <w:jc w:val="both"/>
    </w:pPr>
    <w:rPr>
      <w:rFonts w:ascii="Calibri" w:cs="Arial" w:eastAsia="Times New Roman" w:hAnsi="Calibri"/>
      <w:b w:val="1"/>
      <w:i w:val="1"/>
      <w:lang w:eastAsia="zh-CN"/>
    </w:rPr>
  </w:style>
  <w:style w:type="paragraph" w:styleId="GPSL1Schedulenumbered" w:customStyle="1">
    <w:name w:val="GPS L1 Schedule numbered"/>
    <w:basedOn w:val="Normal"/>
    <w:link w:val="GPSL1SchedulenumberedChar1"/>
    <w:qFormat w:val="1"/>
    <w:pPr>
      <w:numPr>
        <w:numId w:val="1"/>
      </w:numPr>
      <w:tabs>
        <w:tab w:val="left" w:pos="851"/>
      </w:tabs>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GPSL1CLAUSEHEADING" w:customStyle="1">
    <w:name w:val="GPS L1 CLAUSE HEADING"/>
    <w:basedOn w:val="Normal"/>
    <w:next w:val="Normal"/>
    <w:qFormat w:val="1"/>
    <w:pPr>
      <w:numPr>
        <w:numId w:val="3"/>
      </w:numPr>
      <w:tabs>
        <w:tab w:val="left" w:pos="142"/>
      </w:tabs>
      <w:adjustRightInd w:val="0"/>
      <w:spacing w:after="240" w:before="120" w:line="240" w:lineRule="auto"/>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3"/>
      </w:numPr>
      <w:tabs>
        <w:tab w:val="left" w:pos="1985"/>
      </w:tabs>
      <w:adjustRightInd w:val="0"/>
      <w:spacing w:after="120" w:before="120" w:line="240" w:lineRule="auto"/>
      <w:jc w:val="both"/>
    </w:pPr>
    <w:rPr>
      <w:rFonts w:ascii="Calibri" w:cs="Arial" w:eastAsia="Times New Roman" w:hAnsi="Calibri"/>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2NumberedBoldHeading" w:customStyle="1">
    <w:name w:val="GPS L2 Numbered Bold Heading"/>
    <w:basedOn w:val="Normal"/>
    <w:link w:val="GPSL2NumberedBoldHeadingChar"/>
    <w:qFormat w:val="1"/>
    <w:pPr>
      <w:numPr>
        <w:ilvl w:val="1"/>
        <w:numId w:val="3"/>
      </w:numPr>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legds2" w:customStyle="1">
    <w:name w:val="legds2"/>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numberedclause" w:customStyle="1">
    <w:name w:val="GPS L2 numbered clause"/>
    <w:basedOn w:val="Normal"/>
    <w:qFormat w:val="1"/>
    <w:pPr>
      <w:tabs>
        <w:tab w:val="left" w:pos="1134"/>
      </w:tabs>
      <w:adjustRightInd w:val="0"/>
      <w:spacing w:after="120" w:before="120" w:line="240" w:lineRule="auto"/>
      <w:ind w:left="1134" w:hanging="567"/>
      <w:jc w:val="both"/>
    </w:pPr>
    <w:rPr>
      <w:rFonts w:ascii="Calibri" w:cs="Arial" w:eastAsia="Times New Roman" w:hAnsi="Calibri"/>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1" w:customStyle="1">
    <w:name w:val="Table Grid1"/>
    <w:basedOn w:val="TableNormal"/>
    <w:next w:val="TableGrid"/>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gQVEjjVig7SaxNiyiE6dIX93g==">AMUW2mWSDP2GRZlc4xfjSKDwIBk73DagDAL+mRf/JEzH6IoayG209ooyAtAJta4tX/dAd/WWx4LSpOW1c4a8NKpyEUjzEVFwQhxBi5fK5LdKaJICii3q6snX5m2xLYYkqG9ickqyX73PeKKVG3M9sNZm465k9mUpULbnXvPh8haX2K/m6zrBzgKGUwNN20vgVgcdRnTn1A9D/k69JpaiuDw3VHLltsxDIA==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2019-06-25T22:28:00Z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